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34F72B8D" w:rsidR="00B45E6B" w:rsidRPr="00B45E6B" w:rsidRDefault="00B45E6B" w:rsidP="008F6DF1">
      <w:pPr>
        <w:jc w:val="left"/>
      </w:pPr>
      <w:r>
        <w:rPr>
          <w:rFonts w:hint="eastAsia"/>
        </w:rPr>
        <w:t>今般、</w:t>
      </w:r>
      <w:r w:rsidRPr="00B45E6B">
        <w:rPr>
          <w:rFonts w:hint="eastAsia"/>
          <w:u w:val="single"/>
        </w:rPr>
        <w:t>件名</w:t>
      </w:r>
      <w:r w:rsidR="008F6DF1">
        <w:rPr>
          <w:rFonts w:hint="eastAsia"/>
          <w:u w:val="single"/>
        </w:rPr>
        <w:t xml:space="preserve">　</w:t>
      </w:r>
      <w:r w:rsidR="008F6DF1" w:rsidRPr="000108A6">
        <w:rPr>
          <w:rFonts w:hint="eastAsia"/>
          <w:u w:val="single"/>
        </w:rPr>
        <w:t>令和</w:t>
      </w:r>
      <w:r w:rsidR="008F6DF1">
        <w:rPr>
          <w:rFonts w:hint="eastAsia"/>
          <w:u w:val="single"/>
        </w:rPr>
        <w:t>８</w:t>
      </w:r>
      <w:r w:rsidR="008F6DF1" w:rsidRPr="000108A6">
        <w:rPr>
          <w:rFonts w:hint="eastAsia"/>
          <w:u w:val="single"/>
        </w:rPr>
        <w:t>年度門真市中学生音楽会生徒等送迎バス運行業務</w:t>
      </w:r>
      <w:r w:rsidR="008F6DF1">
        <w:rPr>
          <w:rFonts w:hint="eastAsia"/>
          <w:u w:val="single"/>
        </w:rPr>
        <w:t>委託</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5C77EDB" w14:textId="261A7944" w:rsidR="00FB1F7A" w:rsidRDefault="00795A9D" w:rsidP="008F6DF1">
      <w:pPr>
        <w:rPr>
          <w:rFonts w:hint="eastAsia"/>
        </w:rPr>
      </w:pPr>
      <w:r>
        <w:rPr>
          <w:rFonts w:hint="eastAsia"/>
        </w:rPr>
        <w:t xml:space="preserve">　（上記の内容証明に関係しない部分の添付は省略可能です。）</w:t>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8F6DF1"/>
    <w:rsid w:val="00936F30"/>
    <w:rsid w:val="009977B2"/>
    <w:rsid w:val="009C3070"/>
    <w:rsid w:val="009C416E"/>
    <w:rsid w:val="00A03BFB"/>
    <w:rsid w:val="00AD5F50"/>
    <w:rsid w:val="00B45E6B"/>
    <w:rsid w:val="00B77DF1"/>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kys07</cp:lastModifiedBy>
  <cp:revision>34</cp:revision>
  <cp:lastPrinted>2020-02-10T05:15:00Z</cp:lastPrinted>
  <dcterms:created xsi:type="dcterms:W3CDTF">2019-10-31T07:39:00Z</dcterms:created>
  <dcterms:modified xsi:type="dcterms:W3CDTF">2026-05-13T01:36:00Z</dcterms:modified>
</cp:coreProperties>
</file>